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14616.0" w:type="dxa"/>
        <w:jc w:val="left"/>
        <w:tblInd w:w="-115.0" w:type="dxa"/>
        <w:tblBorders>
          <w:top w:color="4bacc6" w:space="0" w:sz="8" w:val="single"/>
          <w:bottom w:color="4bacc6" w:space="0" w:sz="8" w:val="single"/>
        </w:tblBorders>
        <w:tblLayout w:type="fixed"/>
        <w:tblLook w:val="04A0"/>
      </w:tblPr>
      <w:tblGrid>
        <w:gridCol w:w="3565"/>
        <w:gridCol w:w="2303"/>
        <w:gridCol w:w="2496"/>
        <w:gridCol w:w="1374"/>
        <w:gridCol w:w="4878"/>
        <w:tblGridChange w:id="0">
          <w:tblGrid>
            <w:gridCol w:w="3565"/>
            <w:gridCol w:w="2303"/>
            <w:gridCol w:w="2496"/>
            <w:gridCol w:w="1374"/>
            <w:gridCol w:w="4878"/>
          </w:tblGrid>
        </w:tblGridChange>
      </w:tblGrid>
      <w:tr>
        <w:trPr>
          <w:trHeight w:val="280" w:hRule="atLeast"/>
        </w:trPr>
        <w:tc>
          <w:tcPr>
            <w:gridSpan w:val="3"/>
            <w:tcBorders>
              <w:top w:color="31849b" w:space="0" w:sz="8" w:val="single"/>
              <w:left w:color="31849b" w:space="0" w:sz="8" w:val="single"/>
              <w:bottom w:color="31849b" w:space="0" w:sz="8" w:val="single"/>
              <w:right w:color="31849b" w:space="0" w:sz="8" w:val="single"/>
            </w:tcBorders>
          </w:tcPr>
          <w:p w:rsidR="00000000" w:rsidDel="00000000" w:rsidP="00000000" w:rsidRDefault="00000000" w:rsidRPr="00000000">
            <w:pPr>
              <w:pBdr>
                <w:top w:space="0" w:sz="0" w:val="nil"/>
                <w:left w:space="0" w:sz="0" w:val="nil"/>
                <w:bottom w:space="0" w:sz="0" w:val="nil"/>
                <w:right w:space="0" w:sz="0" w:val="nil"/>
                <w:between w:space="0" w:sz="0" w:val="nil"/>
              </w:pBdr>
              <w:spacing w:after="100" w:lineRule="auto"/>
              <w:contextualSpacing w:val="0"/>
              <w:rPr/>
            </w:pPr>
            <w:r w:rsidDel="00000000" w:rsidR="00000000" w:rsidRPr="00000000">
              <w:rPr>
                <w:color w:val="c00000"/>
                <w:rtl w:val="0"/>
              </w:rPr>
              <w:t xml:space="preserve">Chapter Name: Rochester</w:t>
            </w:r>
            <w:r w:rsidDel="00000000" w:rsidR="00000000" w:rsidRPr="00000000">
              <w:rPr>
                <w:rtl w:val="0"/>
              </w:rPr>
            </w:r>
          </w:p>
        </w:tc>
        <w:tc>
          <w:tcPr>
            <w:gridSpan w:val="2"/>
            <w:tcBorders>
              <w:left w:color="31849b" w:space="0" w:sz="8" w:val="single"/>
              <w:bottom w:color="000000" w:space="0" w:sz="0" w:val="nil"/>
              <w:right w:color="31849b" w:space="0" w:sz="8" w:val="single"/>
            </w:tcBorders>
          </w:tcPr>
          <w:p w:rsidR="00000000" w:rsidDel="00000000" w:rsidP="00000000" w:rsidRDefault="00000000" w:rsidRPr="00000000">
            <w:pPr>
              <w:pBdr>
                <w:top w:space="0" w:sz="0" w:val="nil"/>
                <w:left w:space="0" w:sz="0" w:val="nil"/>
                <w:bottom w:space="0" w:sz="0" w:val="nil"/>
                <w:right w:space="0" w:sz="0" w:val="nil"/>
                <w:between w:space="0" w:sz="0" w:val="nil"/>
              </w:pBdr>
              <w:spacing w:after="100" w:lineRule="auto"/>
              <w:contextualSpacing w:val="0"/>
              <w:rPr>
                <w:b w:val="0"/>
              </w:rPr>
            </w:pPr>
            <w:r w:rsidDel="00000000" w:rsidR="00000000" w:rsidRPr="00000000">
              <w:rPr>
                <w:color w:val="c00000"/>
                <w:rtl w:val="0"/>
              </w:rPr>
              <w:t xml:space="preserve">Date: 6/8/17</w:t>
            </w:r>
            <w:r w:rsidDel="00000000" w:rsidR="00000000" w:rsidRPr="00000000">
              <w:rPr>
                <w:rtl w:val="0"/>
              </w:rPr>
            </w:r>
          </w:p>
        </w:tc>
      </w:tr>
      <w:tr>
        <w:trPr>
          <w:trHeight w:val="280" w:hRule="atLeast"/>
        </w:trPr>
        <w:tc>
          <w:tcPr>
            <w:gridSpan w:val="5"/>
            <w:tcBorders>
              <w:top w:color="31849b" w:space="0" w:sz="8" w:val="single"/>
              <w:left w:color="31849b" w:space="0" w:sz="8" w:val="single"/>
              <w:bottom w:color="31849b" w:space="0" w:sz="8" w:val="single"/>
              <w:right w:color="31849b" w:space="0" w:sz="8" w:val="single"/>
            </w:tcBorders>
            <w:shd w:fill="ffdd71"/>
          </w:tcPr>
          <w:p w:rsidR="00000000" w:rsidDel="00000000" w:rsidP="00000000" w:rsidRDefault="00000000" w:rsidRPr="00000000">
            <w:pPr>
              <w:pBdr>
                <w:top w:space="0" w:sz="0" w:val="nil"/>
                <w:left w:space="0" w:sz="0" w:val="nil"/>
                <w:bottom w:space="0" w:sz="0" w:val="nil"/>
                <w:right w:space="0" w:sz="0" w:val="nil"/>
                <w:between w:space="0" w:sz="0" w:val="nil"/>
              </w:pBdr>
              <w:spacing w:after="100" w:lineRule="auto"/>
              <w:contextualSpacing w:val="0"/>
              <w:rPr>
                <w:b w:val="0"/>
              </w:rPr>
            </w:pPr>
            <w:r w:rsidDel="00000000" w:rsidR="00000000" w:rsidRPr="00000000">
              <w:rPr>
                <w:color w:val="c00000"/>
                <w:rtl w:val="0"/>
              </w:rPr>
              <w:t xml:space="preserve">SOS Title: Adding Membership Value with a Small and Mighty Team (Strategic Planning and Executing)</w:t>
            </w:r>
            <w:r w:rsidDel="00000000" w:rsidR="00000000" w:rsidRPr="00000000">
              <w:rPr>
                <w:rtl w:val="0"/>
              </w:rPr>
            </w:r>
          </w:p>
        </w:tc>
      </w:tr>
      <w:tr>
        <w:trPr>
          <w:trHeight w:val="1060" w:hRule="atLeast"/>
        </w:trPr>
        <w:tc>
          <w:tcPr>
            <w:tcBorders>
              <w:top w:color="31849b" w:space="0" w:sz="8" w:val="single"/>
              <w:left w:color="31849b" w:space="0" w:sz="8" w:val="single"/>
              <w:bottom w:color="31849b" w:space="0" w:sz="8" w:val="single"/>
              <w:right w:color="31849b" w:space="0" w:sz="8"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0"/>
              </w:rPr>
            </w:pPr>
            <w:r w:rsidDel="00000000" w:rsidR="00000000" w:rsidRPr="00000000">
              <w:rPr>
                <w:color w:val="c00000"/>
                <w:rtl w:val="0"/>
              </w:rPr>
              <w:t xml:space="preserve">SOS Category: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0"/>
              </w:rPr>
            </w:pPr>
            <w:r w:rsidDel="00000000" w:rsidR="00000000" w:rsidRPr="00000000">
              <w:rPr>
                <w:b w:val="0"/>
                <w:rtl w:val="0"/>
              </w:rPr>
              <w:t xml:space="preserve">Administration and Membership</w:t>
            </w:r>
          </w:p>
        </w:tc>
        <w:tc>
          <w:tcPr>
            <w:gridSpan w:val="4"/>
            <w:tcBorders>
              <w:top w:color="31849b" w:space="0" w:sz="8" w:val="single"/>
              <w:left w:color="31849b" w:space="0" w:sz="8" w:val="single"/>
              <w:bottom w:color="31849b" w:space="0" w:sz="8" w:val="single"/>
              <w:right w:color="31849b" w:space="0" w:sz="8"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color w:val="c00000"/>
              </w:rPr>
            </w:pPr>
            <w:r w:rsidDel="00000000" w:rsidR="00000000" w:rsidRPr="00000000">
              <w:rPr>
                <w:b w:val="1"/>
                <w:color w:val="c00000"/>
                <w:rtl w:val="0"/>
              </w:rPr>
              <w:t xml:space="preserve">Need Addressed: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color w:val="c00000"/>
              </w:rPr>
            </w:pPr>
            <w:r w:rsidDel="00000000" w:rsidR="00000000" w:rsidRPr="00000000">
              <w:rPr>
                <w:b w:val="1"/>
                <w:color w:val="c00000"/>
                <w:rtl w:val="0"/>
              </w:rPr>
              <w:t xml:space="preserve">The board recognized their need to be more strategically aligned with their mission, work better together and offer more ROI to members</w:t>
            </w:r>
          </w:p>
        </w:tc>
      </w:tr>
      <w:tr>
        <w:trPr>
          <w:trHeight w:val="1140" w:hRule="atLeast"/>
        </w:trPr>
        <w:tc>
          <w:tcPr>
            <w:tcBorders>
              <w:top w:color="31849b" w:space="0" w:sz="8" w:val="single"/>
              <w:left w:color="31849b" w:space="0" w:sz="8" w:val="single"/>
              <w:bottom w:color="31849b" w:space="0" w:sz="8" w:val="single"/>
              <w:right w:color="31849b" w:space="0" w:sz="8" w:val="single"/>
            </w:tcBorders>
            <w:shd w:fill="ffdd71"/>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0"/>
                <w:color w:val="c00000"/>
              </w:rPr>
            </w:pPr>
            <w:r w:rsidDel="00000000" w:rsidR="00000000" w:rsidRPr="00000000">
              <w:rPr>
                <w:color w:val="c00000"/>
                <w:rtl w:val="0"/>
              </w:rPr>
              <w:t xml:space="preserve">Summary of Chapter Activity: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b w:val="0"/>
                <w:color w:val="000000"/>
              </w:rPr>
            </w:pPr>
            <w:r w:rsidDel="00000000" w:rsidR="00000000" w:rsidRPr="00000000">
              <w:rPr>
                <w:b w:val="0"/>
                <w:rtl w:val="0"/>
              </w:rPr>
              <w:t xml:space="preserve">What did the Chapter do to address the need, provide a service to the Chapter or learning community? Include notes on planning, implementation, outcomes and lessons learned.</w:t>
            </w:r>
            <w:r w:rsidDel="00000000" w:rsidR="00000000" w:rsidRPr="00000000">
              <w:rPr>
                <w:rtl w:val="0"/>
              </w:rPr>
            </w:r>
          </w:p>
        </w:tc>
        <w:tc>
          <w:tcPr>
            <w:gridSpan w:val="4"/>
            <w:tcBorders>
              <w:top w:color="31849b" w:space="0" w:sz="8" w:val="single"/>
              <w:left w:color="31849b" w:space="0" w:sz="8" w:val="single"/>
              <w:bottom w:color="31849b" w:space="0" w:sz="8" w:val="single"/>
              <w:right w:color="31849b" w:space="0" w:sz="8" w:val="single"/>
            </w:tcBorders>
            <w:shd w:fill="ffdd71"/>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color w:val="c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color w:val="c00000"/>
              </w:rPr>
            </w:pPr>
            <w:r w:rsidDel="00000000" w:rsidR="00000000" w:rsidRPr="00000000">
              <w:rPr>
                <w:b w:val="1"/>
                <w:color w:val="c00000"/>
                <w:rtl w:val="0"/>
              </w:rPr>
              <w:t xml:space="preserve">After attending ALC one of the board members brought back a strategic planning tool to the other board members and as a team they reviewed all of their current practices and identified areas for improvement. They looked at everything they are doing through the lens of how they can add value for the members, promote community engagement and increase their operational focus. This was done at a board strategy meeting and helped the board become more organized and design ways to communicate more efficiently with the chapter members. Lessons learned: should have gone through this process a lot sooner.</w:t>
            </w:r>
          </w:p>
        </w:tc>
      </w:tr>
      <w:tr>
        <w:trPr>
          <w:trHeight w:val="1140" w:hRule="atLeast"/>
        </w:trPr>
        <w:tc>
          <w:tcPr>
            <w:tcBorders>
              <w:top w:color="31849b" w:space="0" w:sz="8" w:val="single"/>
              <w:left w:color="31849b" w:space="0" w:sz="8" w:val="single"/>
              <w:bottom w:color="31849b" w:space="0" w:sz="8" w:val="single"/>
              <w:right w:color="31849b" w:space="0" w:sz="8"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0"/>
                <w:color w:val="c00000"/>
              </w:rPr>
            </w:pPr>
            <w:r w:rsidDel="00000000" w:rsidR="00000000" w:rsidRPr="00000000">
              <w:rPr>
                <w:color w:val="c00000"/>
                <w:rtl w:val="0"/>
              </w:rPr>
              <w:t xml:space="preserve">Replicability: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0"/>
              </w:rPr>
            </w:pPr>
            <w:r w:rsidDel="00000000" w:rsidR="00000000" w:rsidRPr="00000000">
              <w:rPr>
                <w:b w:val="0"/>
                <w:rtl w:val="0"/>
              </w:rPr>
              <w:t xml:space="preserve">Can the effort easily be repurposed by another chapter? Does Chapter size or geographic location matter?</w:t>
            </w:r>
          </w:p>
        </w:tc>
        <w:tc>
          <w:tcPr>
            <w:gridSpan w:val="4"/>
            <w:tcBorders>
              <w:top w:color="31849b" w:space="0" w:sz="8" w:val="single"/>
              <w:left w:color="31849b" w:space="0" w:sz="8" w:val="single"/>
              <w:bottom w:color="31849b" w:space="0" w:sz="8" w:val="single"/>
              <w:right w:color="31849b" w:space="0" w:sz="8"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Any size chapter can use the planning tool to help them refocus their efforts.</w:t>
            </w:r>
          </w:p>
        </w:tc>
      </w:tr>
      <w:tr>
        <w:tc>
          <w:tcPr>
            <w:tcBorders>
              <w:top w:color="31849b" w:space="0" w:sz="8" w:val="single"/>
              <w:left w:color="31849b" w:space="0" w:sz="8" w:val="single"/>
              <w:bottom w:color="31849b" w:space="0" w:sz="8" w:val="single"/>
              <w:right w:color="31849b" w:space="0" w:sz="8" w:val="single"/>
            </w:tcBorders>
            <w:shd w:fill="ffdd71"/>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0"/>
              </w:rPr>
            </w:pPr>
            <w:r w:rsidDel="00000000" w:rsidR="00000000" w:rsidRPr="00000000">
              <w:rPr>
                <w:color w:val="c00000"/>
                <w:rtl w:val="0"/>
              </w:rPr>
              <w:t xml:space="preserve">Does th</w:t>
            </w:r>
            <w:r w:rsidDel="00000000" w:rsidR="00000000" w:rsidRPr="00000000">
              <w:rPr>
                <w:b w:val="0"/>
                <w:color w:val="c00000"/>
                <w:rtl w:val="0"/>
              </w:rPr>
              <w:t xml:space="preserve">e</w:t>
            </w:r>
            <w:r w:rsidDel="00000000" w:rsidR="00000000" w:rsidRPr="00000000">
              <w:rPr>
                <w:color w:val="c00000"/>
                <w:rtl w:val="0"/>
              </w:rPr>
              <w:t xml:space="preserve"> effort align with ATD's mission?</w:t>
            </w:r>
            <w:r w:rsidDel="00000000" w:rsidR="00000000" w:rsidRPr="00000000">
              <w:rPr>
                <w:rFonts w:ascii="Calibri" w:cs="Calibri" w:eastAsia="Calibri" w:hAnsi="Calibri"/>
                <w:color w:val="c00000"/>
                <w:rtl w:val="0"/>
              </w:rPr>
              <w:t xml:space="preserve">  </w:t>
            </w:r>
            <w:hyperlink r:id="rId5">
              <w:r w:rsidDel="00000000" w:rsidR="00000000" w:rsidRPr="00000000">
                <w:rPr>
                  <w:rFonts w:ascii="Calibri" w:cs="Calibri" w:eastAsia="Calibri" w:hAnsi="Calibri"/>
                  <w:color w:val="0000ff"/>
                  <w:u w:val="single"/>
                  <w:rtl w:val="0"/>
                </w:rPr>
                <w:t xml:space="preserve">http://www.td.org/About/Mission-and-Vision</w:t>
              </w:r>
            </w:hyperlink>
            <w:hyperlink r:id="rId6">
              <w:r w:rsidDel="00000000" w:rsidR="00000000" w:rsidRPr="00000000">
                <w:rPr>
                  <w:rtl w:val="0"/>
                </w:rPr>
              </w:r>
            </w:hyperlink>
          </w:p>
        </w:tc>
        <w:tc>
          <w:tcPr>
            <w:tcBorders>
              <w:top w:color="31849b" w:space="0" w:sz="8" w:val="single"/>
              <w:left w:color="31849b" w:space="0" w:sz="8" w:val="single"/>
              <w:bottom w:color="31849b" w:space="0" w:sz="8" w:val="single"/>
              <w:right w:color="31849b" w:space="0" w:sz="8" w:val="single"/>
            </w:tcBorders>
            <w:shd w:fill="ffdd71"/>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hyperlink r:id="rId7">
              <w:r w:rsidDel="00000000" w:rsidR="00000000" w:rsidRPr="00000000">
                <w:rPr>
                  <w:b w:val="0"/>
                  <w:rtl w:val="0"/>
                </w:rPr>
                <w:t xml:space="preserve">Yes</w:t>
              </w:r>
            </w:hyperlink>
            <w:hyperlink r:id="rId8">
              <w:r w:rsidDel="00000000" w:rsidR="00000000" w:rsidRPr="00000000">
                <w:rPr>
                  <w:rtl w:val="0"/>
                </w:rPr>
              </w:r>
            </w:hyperlink>
          </w:p>
        </w:tc>
        <w:tc>
          <w:tcPr>
            <w:gridSpan w:val="2"/>
            <w:tcBorders>
              <w:top w:color="31849b" w:space="0" w:sz="8" w:val="single"/>
              <w:left w:color="31849b" w:space="0" w:sz="8" w:val="single"/>
              <w:bottom w:color="31849b" w:space="0" w:sz="8" w:val="single"/>
              <w:right w:color="31849b" w:space="0" w:sz="8" w:val="single"/>
            </w:tcBorders>
            <w:shd w:fill="ffdd71"/>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color w:val="c00000"/>
              </w:rPr>
            </w:pPr>
            <w:r w:rsidDel="00000000" w:rsidR="00000000" w:rsidRPr="00000000">
              <w:rPr>
                <w:b w:val="1"/>
                <w:color w:val="c00000"/>
                <w:rtl w:val="0"/>
              </w:rPr>
              <w:t xml:space="preserve">Target Audience: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color w:val="c00000"/>
              </w:rPr>
            </w:pPr>
            <w:r w:rsidDel="00000000" w:rsidR="00000000" w:rsidRPr="00000000">
              <w:rPr>
                <w:b w:val="1"/>
                <w:color w:val="c00000"/>
                <w:rtl w:val="0"/>
              </w:rPr>
              <w:t xml:space="preserve">Board but chapter in general benefitted from rebranding</w:t>
            </w:r>
          </w:p>
        </w:tc>
        <w:tc>
          <w:tcPr>
            <w:tcBorders>
              <w:top w:color="31849b" w:space="0" w:sz="8" w:val="single"/>
              <w:left w:color="31849b" w:space="0" w:sz="8" w:val="single"/>
              <w:bottom w:color="31849b" w:space="0" w:sz="8" w:val="single"/>
              <w:right w:color="31849b" w:space="0" w:sz="8" w:val="single"/>
            </w:tcBorders>
            <w:shd w:fill="ffdd71"/>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color w:val="c00000"/>
              </w:rPr>
            </w:pPr>
            <w:r w:rsidDel="00000000" w:rsidR="00000000" w:rsidRPr="00000000">
              <w:rPr>
                <w:b w:val="1"/>
                <w:color w:val="c00000"/>
                <w:rtl w:val="0"/>
              </w:rPr>
              <w:t xml:space="preserve">Were there ATD Resources used? i.e., CPLP Study Guide, Infoline, etc.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ALC presentation, best practices</w:t>
            </w:r>
          </w:p>
        </w:tc>
      </w:tr>
      <w:tr>
        <w:tc>
          <w:tcPr>
            <w:tcBorders>
              <w:top w:color="31849b" w:space="0" w:sz="8" w:val="single"/>
              <w:left w:color="31849b" w:space="0" w:sz="8" w:val="single"/>
              <w:bottom w:color="31849b" w:space="0" w:sz="8" w:val="single"/>
              <w:right w:color="31849b" w:space="0" w:sz="8"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0"/>
              </w:rPr>
            </w:pPr>
            <w:r w:rsidDel="00000000" w:rsidR="00000000" w:rsidRPr="00000000">
              <w:rPr>
                <w:color w:val="c00000"/>
                <w:rtl w:val="0"/>
              </w:rPr>
              <w:t xml:space="preserve">Does the Effort support sound Chapter management and CARE principles?</w:t>
            </w:r>
            <w:r w:rsidDel="00000000" w:rsidR="00000000" w:rsidRPr="00000000">
              <w:rPr>
                <w:rtl w:val="0"/>
              </w:rPr>
            </w:r>
          </w:p>
        </w:tc>
        <w:tc>
          <w:tcPr>
            <w:gridSpan w:val="4"/>
            <w:tcBorders>
              <w:top w:color="31849b" w:space="0" w:sz="8" w:val="single"/>
              <w:left w:color="31849b" w:space="0" w:sz="8" w:val="single"/>
              <w:bottom w:color="31849b" w:space="0" w:sz="8" w:val="single"/>
              <w:right w:color="31849b" w:space="0" w:sz="8"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Yes</w:t>
            </w:r>
          </w:p>
        </w:tc>
      </w:tr>
      <w:tr>
        <w:tc>
          <w:tcPr>
            <w:tcBorders>
              <w:top w:color="31849b" w:space="0" w:sz="8" w:val="single"/>
              <w:left w:color="31849b" w:space="0" w:sz="8" w:val="single"/>
              <w:bottom w:color="31849b" w:space="0" w:sz="8" w:val="single"/>
              <w:right w:color="31849b" w:space="0" w:sz="8" w:val="single"/>
            </w:tcBorders>
            <w:shd w:fill="ffdd71"/>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0"/>
              </w:rPr>
            </w:pPr>
            <w:r w:rsidDel="00000000" w:rsidR="00000000" w:rsidRPr="00000000">
              <w:rPr>
                <w:color w:val="c00000"/>
                <w:rtl w:val="0"/>
              </w:rPr>
              <w:t xml:space="preserve">Innovative 21</w:t>
            </w:r>
            <w:r w:rsidDel="00000000" w:rsidR="00000000" w:rsidRPr="00000000">
              <w:rPr>
                <w:color w:val="c00000"/>
                <w:vertAlign w:val="superscript"/>
                <w:rtl w:val="0"/>
              </w:rPr>
              <w:t xml:space="preserve">st</w:t>
            </w:r>
            <w:r w:rsidDel="00000000" w:rsidR="00000000" w:rsidRPr="00000000">
              <w:rPr>
                <w:color w:val="c00000"/>
                <w:rtl w:val="0"/>
              </w:rPr>
              <w:t xml:space="preserve"> Century Chapter</w:t>
            </w:r>
            <w:r w:rsidDel="00000000" w:rsidR="00000000" w:rsidRPr="00000000">
              <w:rPr>
                <w:rtl w:val="0"/>
              </w:rPr>
              <w:br w:type="textWrapping"/>
            </w:r>
            <w:r w:rsidDel="00000000" w:rsidR="00000000" w:rsidRPr="00000000">
              <w:rPr>
                <w:b w:val="0"/>
                <w:rtl w:val="0"/>
              </w:rPr>
              <w:t xml:space="preserve">Is there anything unique that makes this submission stand out? </w:t>
            </w:r>
          </w:p>
        </w:tc>
        <w:tc>
          <w:tcPr>
            <w:gridSpan w:val="4"/>
            <w:tcBorders>
              <w:top w:color="31849b" w:space="0" w:sz="8" w:val="single"/>
              <w:left w:color="31849b" w:space="0" w:sz="8" w:val="single"/>
              <w:bottom w:color="31849b" w:space="0" w:sz="8" w:val="single"/>
              <w:right w:color="31849b" w:space="0" w:sz="8" w:val="single"/>
            </w:tcBorders>
            <w:shd w:fill="ffdd71"/>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It’s a direct use of information from an ALC presentation and has already brought about positive change</w:t>
            </w:r>
          </w:p>
        </w:tc>
      </w:tr>
      <w:tr>
        <w:tc>
          <w:tcPr>
            <w:tcBorders>
              <w:top w:color="31849b" w:space="0" w:sz="8" w:val="single"/>
              <w:left w:color="31849b" w:space="0" w:sz="8" w:val="single"/>
              <w:bottom w:color="31849b" w:space="0" w:sz="8" w:val="single"/>
              <w:right w:color="31849b" w:space="0" w:sz="8"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color w:val="c00000"/>
              </w:rPr>
            </w:pPr>
            <w:bookmarkStart w:colFirst="0" w:colLast="0" w:name="_gjdgxs" w:id="0"/>
            <w:bookmarkEnd w:id="0"/>
            <w:r w:rsidDel="00000000" w:rsidR="00000000" w:rsidRPr="00000000">
              <w:rPr>
                <w:color w:val="c00000"/>
                <w:rtl w:val="0"/>
              </w:rPr>
              <w:t xml:space="preserve">SOS Recommendation (Y/N)</w:t>
            </w:r>
          </w:p>
        </w:tc>
        <w:tc>
          <w:tcPr>
            <w:tcBorders>
              <w:top w:color="31849b" w:space="0" w:sz="8" w:val="single"/>
              <w:left w:color="31849b" w:space="0" w:sz="8" w:val="single"/>
              <w:bottom w:color="31849b" w:space="0" w:sz="8" w:val="single"/>
              <w:right w:color="31849b" w:space="0" w:sz="8"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Y</w:t>
            </w:r>
          </w:p>
        </w:tc>
        <w:tc>
          <w:tcPr>
            <w:gridSpan w:val="3"/>
            <w:tcBorders>
              <w:top w:color="31849b" w:space="0" w:sz="8" w:val="single"/>
              <w:left w:color="31849b" w:space="0" w:sz="8" w:val="single"/>
              <w:bottom w:color="31849b" w:space="0" w:sz="8" w:val="single"/>
              <w:right w:color="31849b" w:space="0" w:sz="8"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color w:val="c00000"/>
                <w:rtl w:val="0"/>
              </w:rPr>
              <w:t xml:space="preserve">Notes:</w:t>
            </w:r>
            <w:r w:rsidDel="00000000" w:rsidR="00000000" w:rsidRPr="00000000">
              <w:rPr>
                <w:rtl w:val="0"/>
              </w:rPr>
              <w:t xml:space="preserve"> </w:t>
            </w:r>
          </w:p>
        </w:tc>
      </w:tr>
      <w:tr>
        <w:tc>
          <w:tcPr>
            <w:tcBorders>
              <w:top w:color="31849b" w:space="0" w:sz="8" w:val="single"/>
              <w:left w:color="31849b" w:space="0" w:sz="8" w:val="single"/>
              <w:bottom w:color="31849b" w:space="0" w:sz="8" w:val="single"/>
              <w:right w:color="31849b" w:space="0" w:sz="8" w:val="single"/>
            </w:tcBorders>
            <w:shd w:fill="ffdd71"/>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color w:val="c00000"/>
                <w:rtl w:val="0"/>
              </w:rPr>
              <w:t xml:space="preserve">COM Consideration (Y/N)</w:t>
            </w:r>
            <w:r w:rsidDel="00000000" w:rsidR="00000000" w:rsidRPr="00000000">
              <w:rPr>
                <w:rtl w:val="0"/>
              </w:rPr>
            </w:r>
          </w:p>
        </w:tc>
        <w:tc>
          <w:tcPr>
            <w:tcBorders>
              <w:top w:color="31849b" w:space="0" w:sz="8" w:val="single"/>
              <w:left w:color="31849b" w:space="0" w:sz="8" w:val="single"/>
              <w:bottom w:color="31849b" w:space="0" w:sz="8" w:val="single"/>
              <w:right w:color="31849b" w:space="0" w:sz="8" w:val="single"/>
            </w:tcBorders>
            <w:shd w:fill="ffdd71"/>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Y</w:t>
            </w:r>
          </w:p>
        </w:tc>
        <w:tc>
          <w:tcPr>
            <w:gridSpan w:val="3"/>
            <w:tcBorders>
              <w:top w:color="31849b" w:space="0" w:sz="8" w:val="single"/>
              <w:left w:color="31849b" w:space="0" w:sz="8" w:val="single"/>
              <w:bottom w:color="31849b" w:space="0" w:sz="8" w:val="single"/>
              <w:right w:color="31849b" w:space="0" w:sz="8" w:val="single"/>
            </w:tcBorders>
            <w:shd w:fill="ffdd71"/>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color w:val="c00000"/>
                <w:rtl w:val="0"/>
              </w:rPr>
              <w:t xml:space="preserve">Notes:</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headerReference r:id="rId9" w:type="default"/>
      <w:footerReference r:id="rId10"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tabs>
        <w:tab w:val="center" w:pos="7200"/>
        <w:tab w:val="right" w:pos="14400"/>
      </w:tabs>
      <w:spacing w:after="720" w:before="0" w:line="240" w:lineRule="auto"/>
      <w:contextualSpacing w:val="0"/>
      <w:rPr/>
    </w:pPr>
    <w:r w:rsidDel="00000000" w:rsidR="00000000" w:rsidRPr="00000000">
      <w:rPr>
        <w:rFonts w:ascii="Calibri" w:cs="Calibri" w:eastAsia="Calibri" w:hAnsi="Calibri"/>
        <w:b w:val="0"/>
        <w:sz w:val="22"/>
        <w:szCs w:val="22"/>
        <w:rtl w:val="0"/>
      </w:rPr>
      <w:t xml:space="preserve">Page  </w:t>
    </w: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b w:val="0"/>
        <w:sz w:val="22"/>
        <w:szCs w:val="22"/>
        <w:rtl w:val="0"/>
      </w:rPr>
      <w:t xml:space="preserve"> </w:t>
      <w:tab/>
      <w:tab/>
      <w:t xml:space="preserve">1/8/2016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2"/>
      <w:pBdr>
        <w:top w:space="0" w:sz="0" w:val="nil"/>
        <w:left w:space="0" w:sz="0" w:val="nil"/>
        <w:bottom w:space="0" w:sz="0" w:val="nil"/>
        <w:right w:space="0" w:sz="0" w:val="nil"/>
        <w:between w:space="0" w:sz="0" w:val="nil"/>
      </w:pBdr>
      <w:spacing w:before="720" w:lineRule="auto"/>
      <w:contextualSpacing w:val="0"/>
      <w:rPr>
        <w:rFonts w:ascii="Cambria" w:cs="Cambria" w:eastAsia="Cambria" w:hAnsi="Cambria"/>
        <w:b w:val="1"/>
        <w:smallCaps w:val="1"/>
        <w:color w:val="4f81bd"/>
        <w:sz w:val="26"/>
        <w:szCs w:val="26"/>
      </w:rPr>
    </w:pPr>
    <w:r w:rsidDel="00000000" w:rsidR="00000000" w:rsidRPr="00000000">
      <w:rPr>
        <w:smallCaps w:val="1"/>
        <w:color w:val="c00000"/>
        <w:sz w:val="40"/>
        <w:szCs w:val="40"/>
        <w:rtl w:val="0"/>
      </w:rPr>
      <w:t xml:space="preserve">SOS Review Template</w:t>
    </w: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margin">
            <wp:posOffset>7952740</wp:posOffset>
          </wp:positionH>
          <wp:positionV relativeFrom="paragraph">
            <wp:posOffset>-225424</wp:posOffset>
          </wp:positionV>
          <wp:extent cx="1217930" cy="670560"/>
          <wp:effectExtent b="0" l="0" r="0" t="0"/>
          <wp:wrapNone/>
          <wp:docPr descr="SOS logo" id="1" name="image2.jpg"/>
          <a:graphic>
            <a:graphicData uri="http://schemas.openxmlformats.org/drawingml/2006/picture">
              <pic:pic>
                <pic:nvPicPr>
                  <pic:cNvPr descr="SOS logo" id="0" name="image2.jpg"/>
                  <pic:cNvPicPr preferRelativeResize="0"/>
                </pic:nvPicPr>
                <pic:blipFill>
                  <a:blip r:embed="rId1"/>
                  <a:srcRect b="0" l="0" r="0" t="0"/>
                  <a:stretch>
                    <a:fillRect/>
                  </a:stretch>
                </pic:blipFill>
                <pic:spPr>
                  <a:xfrm>
                    <a:off x="0" y="0"/>
                    <a:ext cx="1217930" cy="6705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color w:val="31849b"/>
    </w:rPr>
    <w:tblPr>
      <w:tblStyleRowBandSize w:val="1"/>
      <w:tblStyleColBandSize w:val="1"/>
      <w:tblCellMar>
        <w:top w:w="0.0" w:type="dxa"/>
        <w:left w:w="115.0" w:type="dxa"/>
        <w:bottom w:w="0.0" w:type="dxa"/>
        <w:right w:w="115.0" w:type="dxa"/>
      </w:tblCellMar>
    </w:tblPr>
    <w:tblStylePr w:type="band1Horz">
      <w:pPr>
        <w:pBdr/>
        <w:contextualSpacing w:val="1"/>
      </w:pPr>
      <w:rPr/>
      <w:tcPr>
        <w:tcBorders>
          <w:left w:color="000000" w:space="0" w:sz="0" w:val="nil"/>
          <w:right w:color="000000" w:space="0" w:sz="0" w:val="nil"/>
          <w:insideH w:color="000000" w:space="0" w:sz="0" w:val="nil"/>
          <w:insideV w:color="000000" w:space="0" w:sz="0" w:val="nil"/>
        </w:tcBorders>
        <w:shd w:fill="d2eaf0"/>
        <w:tcMar>
          <w:left w:w="115.0" w:type="dxa"/>
          <w:right w:w="115.0" w:type="dxa"/>
        </w:tcMar>
      </w:tcPr>
    </w:tblStylePr>
    <w:tblStylePr w:type="band1Vert">
      <w:pPr>
        <w:pBdr/>
        <w:contextualSpacing w:val="1"/>
      </w:pPr>
      <w:rPr/>
      <w:tcPr>
        <w:tcBorders>
          <w:left w:color="000000" w:space="0" w:sz="0" w:val="nil"/>
          <w:right w:color="000000" w:space="0" w:sz="0" w:val="nil"/>
          <w:insideH w:color="000000" w:space="0" w:sz="0" w:val="nil"/>
          <w:insideV w:color="000000" w:space="0" w:sz="0" w:val="nil"/>
        </w:tcBorders>
        <w:shd w:fill="d2eaf0"/>
        <w:tcMar>
          <w:left w:w="115.0" w:type="dxa"/>
          <w:right w:w="115.0" w:type="dxa"/>
        </w:tcMar>
      </w:tcPr>
    </w:tblStylePr>
    <w:tblStylePr w:type="band2Horz"/>
    <w:tblStylePr w:type="band2Vert"/>
    <w:tblStylePr w:type="firstCol">
      <w:pPr>
        <w:pBdr/>
        <w:contextualSpacing w:val="1"/>
      </w:pPr>
      <w:rPr>
        <w:b w:val="1"/>
      </w:rPr>
      <w:tcPr>
        <w:tcMar>
          <w:left w:w="115.0" w:type="dxa"/>
          <w:right w:w="115.0" w:type="dxa"/>
        </w:tcMar>
      </w:tcPr>
    </w:tblStylePr>
    <w:tblStylePr w:type="firstRow">
      <w:pPr>
        <w:pBdr/>
        <w:spacing w:after="0" w:before="0" w:line="240" w:lineRule="auto"/>
      </w:pPr>
      <w:rPr>
        <w:b w:val="1"/>
      </w:rPr>
      <w:tcPr>
        <w:tcBorders>
          <w:top w:color="4bacc6" w:space="0" w:sz="8" w:val="single"/>
          <w:left w:color="000000" w:space="0" w:sz="0" w:val="nil"/>
          <w:bottom w:color="4bacc6" w:space="0" w:sz="8" w:val="single"/>
          <w:right w:color="000000" w:space="0" w:sz="0" w:val="nil"/>
          <w:insideH w:color="000000" w:space="0" w:sz="0" w:val="nil"/>
          <w:insideV w:color="000000" w:space="0" w:sz="0" w:val="nil"/>
        </w:tcBorders>
        <w:tcMar>
          <w:left w:w="115.0" w:type="dxa"/>
          <w:right w:w="115.0" w:type="dxa"/>
        </w:tcMar>
      </w:tcPr>
    </w:tblStylePr>
    <w:tblStylePr w:type="lastCol">
      <w:pPr>
        <w:pBdr/>
        <w:contextualSpacing w:val="1"/>
      </w:pPr>
      <w:rPr>
        <w:b w:val="1"/>
      </w:rPr>
      <w:tcPr>
        <w:tcMar>
          <w:left w:w="115.0" w:type="dxa"/>
          <w:right w:w="115.0" w:type="dxa"/>
        </w:tcMar>
      </w:tcPr>
    </w:tblStylePr>
    <w:tblStylePr w:type="lastRow">
      <w:pPr>
        <w:pBdr/>
        <w:spacing w:after="0" w:before="0" w:line="240" w:lineRule="auto"/>
      </w:pPr>
      <w:rPr>
        <w:b w:val="1"/>
      </w:rPr>
      <w:tcPr>
        <w:tcBorders>
          <w:top w:color="4bacc6" w:space="0" w:sz="8" w:val="single"/>
          <w:left w:color="000000" w:space="0" w:sz="0" w:val="nil"/>
          <w:bottom w:color="4bacc6" w:space="0" w:sz="8" w:val="single"/>
          <w:right w:color="000000" w:space="0" w:sz="0" w:val="nil"/>
          <w:insideH w:color="000000" w:space="0" w:sz="0" w:val="nil"/>
          <w:insideV w:color="000000" w:space="0" w:sz="0" w:val="nil"/>
        </w:tcBorders>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www.td.org/About/Mission-and-Vision" TargetMode="External"/><Relationship Id="rId6" Type="http://schemas.openxmlformats.org/officeDocument/2006/relationships/hyperlink" Target="http://www.td.org/About/Mission-and-Vision" TargetMode="External"/><Relationship Id="rId7" Type="http://schemas.openxmlformats.org/officeDocument/2006/relationships/hyperlink" Target="http://www.td.org/About/Mission-and-Vision" TargetMode="External"/><Relationship Id="rId8" Type="http://schemas.openxmlformats.org/officeDocument/2006/relationships/hyperlink" Target="http://www.td.org/About/Mission-and-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